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b w:val="1"/>
          <w:sz w:val="32"/>
          <w:szCs w:val="32"/>
          <w:u w:val="singl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posOffset>-257173</wp:posOffset>
            </wp:positionH>
            <wp:positionV relativeFrom="margin">
              <wp:posOffset>-180973</wp:posOffset>
            </wp:positionV>
            <wp:extent cx="1019175" cy="876300"/>
            <wp:effectExtent b="0" l="0" r="0" t="0"/>
            <wp:wrapNone/>
            <wp:docPr descr="logokouki.png" id="1" name="image1.png"/>
            <a:graphic>
              <a:graphicData uri="http://schemas.openxmlformats.org/drawingml/2006/picture">
                <pic:pic>
                  <pic:nvPicPr>
                    <pic:cNvPr descr="logokouki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32"/>
          <w:szCs w:val="32"/>
          <w:u w:val="singl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6096000</wp:posOffset>
            </wp:positionH>
            <wp:positionV relativeFrom="margin">
              <wp:posOffset>-238123</wp:posOffset>
            </wp:positionV>
            <wp:extent cx="828675" cy="933450"/>
            <wp:effectExtent b="0" l="0" r="0" t="0"/>
            <wp:wrapSquare wrapText="bothSides" distB="0" distT="0" distL="114300" distR="114300"/>
            <wp:docPr descr="122.png" id="2" name="image2.png"/>
            <a:graphic>
              <a:graphicData uri="http://schemas.openxmlformats.org/drawingml/2006/picture">
                <pic:pic>
                  <pic:nvPicPr>
                    <pic:cNvPr descr="122.pn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36"/>
          <w:szCs w:val="36"/>
          <w:rtl w:val="0"/>
        </w:rPr>
        <w:t xml:space="preserve">                 FEDERATION ALGERIENNE DE FOOTBALL</w:t>
      </w:r>
    </w:p>
    <w:p w:rsidR="00000000" w:rsidDel="00000000" w:rsidP="00000000" w:rsidRDefault="00000000" w:rsidRPr="00000000" w14:paraId="00000002">
      <w:pPr>
        <w:jc w:val="center"/>
        <w:rPr>
          <w:rFonts w:ascii="Balthazar" w:cs="Balthazar" w:eastAsia="Balthazar" w:hAnsi="Balthazar"/>
          <w:b w:val="1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b w:val="1"/>
          <w:sz w:val="20"/>
          <w:szCs w:val="20"/>
          <w:rtl w:val="0"/>
        </w:rPr>
        <w:t xml:space="preserve">                   LIGUE DE WILAYA DE FOOTBALL D’OUM EL BOUAGHI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color w:val="0070c0"/>
          <w:sz w:val="32"/>
          <w:szCs w:val="32"/>
          <w:u w:val="single"/>
        </w:rPr>
      </w:pPr>
      <w:r w:rsidDel="00000000" w:rsidR="00000000" w:rsidRPr="00000000">
        <w:rPr>
          <w:b w:val="1"/>
          <w:color w:val="0070c0"/>
          <w:sz w:val="32"/>
          <w:szCs w:val="32"/>
          <w:u w:val="single"/>
          <w:rtl w:val="0"/>
        </w:rPr>
        <w:t xml:space="preserve">DESIGNATION DES ARBITRES   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color w:val="ff0000"/>
          <w:sz w:val="32"/>
          <w:szCs w:val="32"/>
          <w:u w:val="single"/>
          <w:rtl w:val="0"/>
        </w:rPr>
        <w:t xml:space="preserve">Saison 2022-2023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Vendredi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10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/02/2023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b w:val="1"/>
          <w:color w:val="ff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65.000124740603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16.5"/>
        <w:gridCol w:w="3546.00008454323"/>
        <w:gridCol w:w="1686.0000401973732"/>
        <w:gridCol w:w="2616.5"/>
        <w:tblGridChange w:id="0">
          <w:tblGrid>
            <w:gridCol w:w="2616.5"/>
            <w:gridCol w:w="3546.00008454323"/>
            <w:gridCol w:w="1686.0000401973732"/>
            <w:gridCol w:w="2616.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Lieux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Rencontres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Heures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ARBITRES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32"/>
                <w:szCs w:val="32"/>
                <w:u w:val="single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Ksar Sbahi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u w:val="singl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CSA KSAR SBAHI vs CRB HARMLIA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  <w:sz w:val="32"/>
                <w:szCs w:val="32"/>
                <w:u w:val="singl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u w:val="single"/>
                <w:rtl w:val="0"/>
              </w:rPr>
              <w:t xml:space="preserve">14:30h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  <w:sz w:val="32"/>
                <w:szCs w:val="32"/>
                <w:u w:val="singl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u w:val="single"/>
                <w:rtl w:val="0"/>
              </w:rPr>
              <w:t xml:space="preserve">Koriche- BensiAhmed-Boudebouza</w:t>
            </w:r>
          </w:p>
        </w:tc>
      </w:tr>
    </w:tbl>
    <w:p w:rsidR="00000000" w:rsidDel="00000000" w:rsidP="00000000" w:rsidRDefault="00000000" w:rsidRPr="00000000" w14:paraId="00000011">
      <w:pPr>
        <w:spacing w:after="0" w:line="240" w:lineRule="auto"/>
        <w:jc w:val="center"/>
        <w:rPr>
          <w:b w:val="1"/>
          <w:color w:val="ff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color w:val="c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center"/>
        <w:rPr>
          <w:b w:val="1"/>
          <w:color w:val="c00000"/>
          <w:sz w:val="24"/>
          <w:szCs w:val="24"/>
          <w:u w:val="single"/>
        </w:rPr>
      </w:pPr>
      <w:r w:rsidDel="00000000" w:rsidR="00000000" w:rsidRPr="00000000">
        <w:rPr>
          <w:b w:val="1"/>
          <w:color w:val="c00000"/>
          <w:sz w:val="24"/>
          <w:szCs w:val="24"/>
          <w:u w:val="single"/>
          <w:rtl w:val="0"/>
        </w:rPr>
        <w:t xml:space="preserve">SOUS TOUTES RESERVES</w:t>
      </w:r>
    </w:p>
    <w:p w:rsidR="00000000" w:rsidDel="00000000" w:rsidP="00000000" w:rsidRDefault="00000000" w:rsidRPr="00000000" w14:paraId="00000014">
      <w:pPr>
        <w:spacing w:after="0" w:lineRule="auto"/>
        <w:jc w:val="center"/>
        <w:rPr>
          <w:b w:val="1"/>
          <w:color w:val="c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RAPPEL    ( Article  21 )</w:t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Il est porté a votre connaissance que l’application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l’article 21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des règlements généraux de la FAF est obligatoire pour toutes rencontres officielles. </w:t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À cet effet les clubs qui reçoivent doivent obligatoirement s’assurer de la présence </w:t>
      </w:r>
      <w:r w:rsidDel="00000000" w:rsidR="00000000" w:rsidRPr="00000000">
        <w:rPr>
          <w:sz w:val="24"/>
          <w:szCs w:val="24"/>
          <w:rtl w:val="0"/>
        </w:rPr>
        <w:t xml:space="preserve">d’</w:t>
      </w:r>
      <w:r w:rsidDel="00000000" w:rsidR="00000000" w:rsidRPr="00000000">
        <w:rPr>
          <w:b w:val="1"/>
          <w:sz w:val="24"/>
          <w:szCs w:val="24"/>
          <w:rtl w:val="0"/>
        </w:rPr>
        <w:t xml:space="preserve">un médecin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et </w:t>
      </w:r>
      <w:r w:rsidDel="00000000" w:rsidR="00000000" w:rsidRPr="00000000">
        <w:rPr>
          <w:sz w:val="24"/>
          <w:szCs w:val="24"/>
          <w:rtl w:val="0"/>
        </w:rPr>
        <w:t xml:space="preserve">d’</w:t>
      </w:r>
      <w:r w:rsidDel="00000000" w:rsidR="00000000" w:rsidRPr="00000000">
        <w:rPr>
          <w:b w:val="1"/>
          <w:sz w:val="24"/>
          <w:szCs w:val="24"/>
          <w:rtl w:val="0"/>
        </w:rPr>
        <w:t xml:space="preserve">une ambulance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si l’absence du médecin ou de l’ambulance est constatée par l’arbitre celui-ci annule la rencontre et le club est sanctionne par </w:t>
      </w:r>
      <w:r w:rsidDel="00000000" w:rsidR="00000000" w:rsidRPr="00000000">
        <w:rPr>
          <w:b w:val="1"/>
          <w:sz w:val="24"/>
          <w:szCs w:val="24"/>
          <w:rtl w:val="0"/>
        </w:rPr>
        <w:t xml:space="preserve">l’article 21 des R/G de la FAF.</w:t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CONSULTATION DU SITE INTERNET</w:t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Les clubs sont tenus de consulter le Site Internet de la ligue</w:t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b w:val="1"/>
          <w:color w:val="000000"/>
          <w:sz w:val="24"/>
          <w:szCs w:val="24"/>
        </w:rPr>
      </w:pPr>
      <w:hyperlink r:id="rId8">
        <w:r w:rsidDel="00000000" w:rsidR="00000000" w:rsidRPr="00000000">
          <w:rPr>
            <w:b w:val="1"/>
            <w:color w:val="00a3d6"/>
            <w:sz w:val="24"/>
            <w:szCs w:val="24"/>
            <w:u w:val="single"/>
            <w:rtl w:val="0"/>
          </w:rPr>
          <w:t xml:space="preserve">http://www.lwfoeb.dz/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pour prendre connaissance des éventuelles modifications dans la programmation et changements des lieux de rencontres et/ou horaire.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jc w:val="center"/>
        <w:rPr>
          <w:b w:val="1"/>
          <w:color w:val="c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althaza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lwfoeb.d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